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D0593" w:rsidRPr="001D0593">
        <w:rPr>
          <w:sz w:val="28"/>
        </w:rPr>
        <w:t>Zwei Taschenrechner</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1D0593" w:rsidTr="001D0593">
        <w:tc>
          <w:tcPr>
            <w:tcW w:w="2466" w:type="dxa"/>
            <w:vAlign w:val="center"/>
          </w:tcPr>
          <w:p w:rsidR="001D0593" w:rsidRPr="0004089C" w:rsidRDefault="001D0593" w:rsidP="005C2F82">
            <w:pPr>
              <w:pStyle w:val="IQB-Merkmal"/>
              <w:rPr>
                <w:sz w:val="22"/>
              </w:rPr>
            </w:pPr>
            <w:r w:rsidRPr="0004089C">
              <w:rPr>
                <w:sz w:val="22"/>
              </w:rPr>
              <w:t>Leitidee</w:t>
            </w:r>
          </w:p>
        </w:tc>
        <w:tc>
          <w:tcPr>
            <w:tcW w:w="6604" w:type="dxa"/>
          </w:tcPr>
          <w:p w:rsidR="001D0593" w:rsidRPr="0004089C" w:rsidRDefault="001D0593" w:rsidP="005C2F82">
            <w:pPr>
              <w:pStyle w:val="IQB-Merkmalswert"/>
              <w:rPr>
                <w:sz w:val="22"/>
                <w:szCs w:val="22"/>
              </w:rPr>
            </w:pPr>
            <w:r w:rsidRPr="0004089C">
              <w:rPr>
                <w:sz w:val="22"/>
                <w:szCs w:val="22"/>
              </w:rPr>
              <w:t>Zahl (L1)</w:t>
            </w:r>
          </w:p>
        </w:tc>
      </w:tr>
      <w:tr w:rsidR="001D0593" w:rsidTr="001D0593">
        <w:tc>
          <w:tcPr>
            <w:tcW w:w="2466" w:type="dxa"/>
            <w:vAlign w:val="center"/>
          </w:tcPr>
          <w:p w:rsidR="001D0593" w:rsidRPr="0004089C" w:rsidRDefault="001D0593" w:rsidP="005C2F82">
            <w:pPr>
              <w:pStyle w:val="IQB-Merkmal"/>
              <w:rPr>
                <w:sz w:val="22"/>
              </w:rPr>
            </w:pPr>
            <w:r w:rsidRPr="0004089C">
              <w:rPr>
                <w:sz w:val="22"/>
              </w:rPr>
              <w:t>Allgemeine Komp</w:t>
            </w:r>
            <w:r w:rsidRPr="0004089C">
              <w:rPr>
                <w:sz w:val="22"/>
              </w:rPr>
              <w:t>e</w:t>
            </w:r>
            <w:r w:rsidRPr="0004089C">
              <w:rPr>
                <w:sz w:val="22"/>
              </w:rPr>
              <w:t>tenzen</w:t>
            </w:r>
          </w:p>
        </w:tc>
        <w:tc>
          <w:tcPr>
            <w:tcW w:w="6604" w:type="dxa"/>
          </w:tcPr>
          <w:p w:rsidR="001D0593" w:rsidRDefault="001D0593" w:rsidP="005C2F82">
            <w:pPr>
              <w:pStyle w:val="IQB-Merkmalswert"/>
              <w:rPr>
                <w:sz w:val="22"/>
                <w:szCs w:val="22"/>
              </w:rPr>
            </w:pPr>
            <w:r>
              <w:rPr>
                <w:sz w:val="22"/>
                <w:szCs w:val="22"/>
              </w:rPr>
              <w:t>Mathematisch argumentieren (K1)</w:t>
            </w:r>
          </w:p>
          <w:p w:rsidR="001D0593" w:rsidRDefault="001D0593" w:rsidP="005C2F82">
            <w:pPr>
              <w:pStyle w:val="IQB-Merkmalswert"/>
              <w:rPr>
                <w:sz w:val="22"/>
                <w:szCs w:val="22"/>
              </w:rPr>
            </w:pPr>
            <w:r w:rsidRPr="0004089C">
              <w:rPr>
                <w:sz w:val="22"/>
                <w:szCs w:val="22"/>
              </w:rPr>
              <w:t>Mit symbolischen, formalen und technischen Elementen der M</w:t>
            </w:r>
            <w:r w:rsidRPr="0004089C">
              <w:rPr>
                <w:sz w:val="22"/>
                <w:szCs w:val="22"/>
              </w:rPr>
              <w:t>a</w:t>
            </w:r>
            <w:r>
              <w:rPr>
                <w:sz w:val="22"/>
                <w:szCs w:val="22"/>
              </w:rPr>
              <w:t>thematik umgehen (K5)</w:t>
            </w:r>
          </w:p>
          <w:p w:rsidR="001D0593" w:rsidRPr="0004089C" w:rsidRDefault="001D0593" w:rsidP="005C2F82">
            <w:pPr>
              <w:pStyle w:val="IQB-Merkmalswert"/>
              <w:rPr>
                <w:sz w:val="22"/>
                <w:szCs w:val="22"/>
              </w:rPr>
            </w:pPr>
            <w:r>
              <w:rPr>
                <w:sz w:val="22"/>
                <w:szCs w:val="22"/>
              </w:rPr>
              <w:t>Mathematisch kommunizieren</w:t>
            </w:r>
            <w:r w:rsidRPr="0004089C">
              <w:rPr>
                <w:sz w:val="22"/>
                <w:szCs w:val="22"/>
              </w:rPr>
              <w:t xml:space="preserve"> (K6)</w:t>
            </w:r>
          </w:p>
        </w:tc>
      </w:tr>
      <w:tr w:rsidR="001D0593" w:rsidTr="001D0593">
        <w:tc>
          <w:tcPr>
            <w:tcW w:w="2466" w:type="dxa"/>
            <w:vAlign w:val="center"/>
          </w:tcPr>
          <w:p w:rsidR="001D0593" w:rsidRPr="0004089C" w:rsidRDefault="001D0593" w:rsidP="005C2F82">
            <w:pPr>
              <w:pStyle w:val="IQB-Merkmal"/>
              <w:rPr>
                <w:sz w:val="22"/>
              </w:rPr>
            </w:pPr>
            <w:r w:rsidRPr="0004089C">
              <w:rPr>
                <w:sz w:val="22"/>
              </w:rPr>
              <w:t>Anforderungsbereich</w:t>
            </w:r>
          </w:p>
        </w:tc>
        <w:tc>
          <w:tcPr>
            <w:tcW w:w="6604" w:type="dxa"/>
          </w:tcPr>
          <w:p w:rsidR="001D0593" w:rsidRPr="0004089C" w:rsidRDefault="001D0593" w:rsidP="005C2F82">
            <w:pPr>
              <w:pStyle w:val="IQB-Merkmalswert"/>
              <w:rPr>
                <w:sz w:val="22"/>
                <w:szCs w:val="22"/>
              </w:rPr>
            </w:pPr>
            <w:r w:rsidRPr="0004089C">
              <w:rPr>
                <w:sz w:val="22"/>
                <w:szCs w:val="22"/>
              </w:rPr>
              <w:t>III</w:t>
            </w:r>
          </w:p>
        </w:tc>
      </w:tr>
      <w:tr w:rsidR="001D0593" w:rsidTr="001D0593">
        <w:tc>
          <w:tcPr>
            <w:tcW w:w="2466" w:type="dxa"/>
            <w:vAlign w:val="center"/>
          </w:tcPr>
          <w:p w:rsidR="001D0593" w:rsidRPr="0004089C" w:rsidRDefault="001D0593" w:rsidP="005C2F82">
            <w:pPr>
              <w:pStyle w:val="IQB-Merkmal"/>
              <w:rPr>
                <w:sz w:val="22"/>
              </w:rPr>
            </w:pPr>
            <w:r w:rsidRPr="0004089C">
              <w:rPr>
                <w:sz w:val="22"/>
              </w:rPr>
              <w:t>Kompetenzstufe</w:t>
            </w:r>
          </w:p>
        </w:tc>
        <w:tc>
          <w:tcPr>
            <w:tcW w:w="6604" w:type="dxa"/>
          </w:tcPr>
          <w:p w:rsidR="001D0593" w:rsidRPr="0004089C" w:rsidRDefault="001D0593" w:rsidP="005C2F82">
            <w:pPr>
              <w:pStyle w:val="IQB-Merkmalswert"/>
              <w:rPr>
                <w:sz w:val="22"/>
                <w:szCs w:val="22"/>
              </w:rPr>
            </w:pPr>
            <w:r w:rsidRPr="0004089C">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1D0593" w:rsidTr="001D0593">
        <w:tc>
          <w:tcPr>
            <w:tcW w:w="2466" w:type="dxa"/>
            <w:vAlign w:val="center"/>
          </w:tcPr>
          <w:p w:rsidR="001D0593" w:rsidRPr="00013049" w:rsidRDefault="001D0593" w:rsidP="005C2F82">
            <w:pPr>
              <w:pStyle w:val="IQB-Merkmal"/>
              <w:rPr>
                <w:sz w:val="22"/>
              </w:rPr>
            </w:pPr>
            <w:r w:rsidRPr="00013049">
              <w:rPr>
                <w:sz w:val="22"/>
              </w:rPr>
              <w:t>Leitidee</w:t>
            </w:r>
          </w:p>
        </w:tc>
        <w:tc>
          <w:tcPr>
            <w:tcW w:w="6604" w:type="dxa"/>
          </w:tcPr>
          <w:p w:rsidR="001D0593" w:rsidRPr="00013049" w:rsidRDefault="001D0593" w:rsidP="005C2F82">
            <w:pPr>
              <w:pStyle w:val="IQB-Merkmalswert"/>
              <w:rPr>
                <w:sz w:val="22"/>
                <w:szCs w:val="22"/>
              </w:rPr>
            </w:pPr>
            <w:r w:rsidRPr="00013049">
              <w:rPr>
                <w:sz w:val="22"/>
                <w:szCs w:val="22"/>
              </w:rPr>
              <w:t>Zahl (L1)</w:t>
            </w:r>
          </w:p>
        </w:tc>
      </w:tr>
      <w:tr w:rsidR="001D0593" w:rsidTr="001D0593">
        <w:tc>
          <w:tcPr>
            <w:tcW w:w="2466" w:type="dxa"/>
            <w:vAlign w:val="center"/>
          </w:tcPr>
          <w:p w:rsidR="001D0593" w:rsidRPr="00013049" w:rsidRDefault="001D0593"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1D0593" w:rsidRDefault="001D0593" w:rsidP="005C2F82">
            <w:pPr>
              <w:pStyle w:val="IQB-Merkmalswert"/>
              <w:rPr>
                <w:sz w:val="22"/>
                <w:szCs w:val="22"/>
              </w:rPr>
            </w:pPr>
            <w:r>
              <w:rPr>
                <w:sz w:val="22"/>
                <w:szCs w:val="22"/>
              </w:rPr>
              <w:t>Mathematisch modellieren (K3)</w:t>
            </w:r>
          </w:p>
          <w:p w:rsidR="001D0593" w:rsidRDefault="001D0593" w:rsidP="005C2F82">
            <w:pPr>
              <w:pStyle w:val="IQB-Merkmalswert"/>
              <w:rPr>
                <w:sz w:val="22"/>
                <w:szCs w:val="22"/>
              </w:rPr>
            </w:pPr>
            <w:r w:rsidRPr="00013049">
              <w:rPr>
                <w:sz w:val="22"/>
                <w:szCs w:val="22"/>
              </w:rPr>
              <w:t>Mit symbolischen, formalen und technischen Elementen der M</w:t>
            </w:r>
            <w:r w:rsidRPr="00013049">
              <w:rPr>
                <w:sz w:val="22"/>
                <w:szCs w:val="22"/>
              </w:rPr>
              <w:t>a</w:t>
            </w:r>
            <w:r>
              <w:rPr>
                <w:sz w:val="22"/>
                <w:szCs w:val="22"/>
              </w:rPr>
              <w:t>thematik umgehen (K5)</w:t>
            </w:r>
          </w:p>
          <w:p w:rsidR="001D0593" w:rsidRPr="00013049" w:rsidRDefault="001D0593" w:rsidP="005C2F82">
            <w:pPr>
              <w:pStyle w:val="IQB-Merkmalswert"/>
              <w:rPr>
                <w:sz w:val="22"/>
                <w:szCs w:val="22"/>
              </w:rPr>
            </w:pPr>
            <w:r>
              <w:rPr>
                <w:sz w:val="22"/>
                <w:szCs w:val="22"/>
              </w:rPr>
              <w:t>Mathematisch kommunizieren</w:t>
            </w:r>
            <w:r w:rsidRPr="00013049">
              <w:rPr>
                <w:sz w:val="22"/>
                <w:szCs w:val="22"/>
              </w:rPr>
              <w:t xml:space="preserve"> (K6)</w:t>
            </w:r>
          </w:p>
        </w:tc>
      </w:tr>
      <w:tr w:rsidR="001D0593" w:rsidTr="001D0593">
        <w:tc>
          <w:tcPr>
            <w:tcW w:w="2466" w:type="dxa"/>
            <w:vAlign w:val="center"/>
          </w:tcPr>
          <w:p w:rsidR="001D0593" w:rsidRPr="00013049" w:rsidRDefault="001D0593" w:rsidP="005C2F82">
            <w:pPr>
              <w:pStyle w:val="IQB-Merkmal"/>
              <w:rPr>
                <w:sz w:val="22"/>
              </w:rPr>
            </w:pPr>
            <w:r w:rsidRPr="00013049">
              <w:rPr>
                <w:sz w:val="22"/>
              </w:rPr>
              <w:t>Anforderungsbereich</w:t>
            </w:r>
          </w:p>
        </w:tc>
        <w:tc>
          <w:tcPr>
            <w:tcW w:w="6604" w:type="dxa"/>
          </w:tcPr>
          <w:p w:rsidR="001D0593" w:rsidRPr="00013049" w:rsidRDefault="001D0593" w:rsidP="005C2F82">
            <w:pPr>
              <w:pStyle w:val="IQB-Merkmalswert"/>
              <w:rPr>
                <w:sz w:val="22"/>
                <w:szCs w:val="22"/>
              </w:rPr>
            </w:pPr>
            <w:r w:rsidRPr="00013049">
              <w:rPr>
                <w:sz w:val="22"/>
                <w:szCs w:val="22"/>
              </w:rPr>
              <w:t>III</w:t>
            </w:r>
          </w:p>
        </w:tc>
      </w:tr>
      <w:tr w:rsidR="001D0593" w:rsidTr="001D0593">
        <w:tc>
          <w:tcPr>
            <w:tcW w:w="2466" w:type="dxa"/>
            <w:vAlign w:val="center"/>
          </w:tcPr>
          <w:p w:rsidR="001D0593" w:rsidRPr="00013049" w:rsidRDefault="001D0593" w:rsidP="005C2F82">
            <w:pPr>
              <w:pStyle w:val="IQB-Merkmal"/>
              <w:rPr>
                <w:sz w:val="22"/>
              </w:rPr>
            </w:pPr>
            <w:r w:rsidRPr="00013049">
              <w:rPr>
                <w:sz w:val="22"/>
              </w:rPr>
              <w:t>Kompetenzstufe</w:t>
            </w:r>
          </w:p>
        </w:tc>
        <w:tc>
          <w:tcPr>
            <w:tcW w:w="6604" w:type="dxa"/>
          </w:tcPr>
          <w:p w:rsidR="001D0593" w:rsidRPr="00013049" w:rsidRDefault="001D0593" w:rsidP="005C2F82">
            <w:pPr>
              <w:pStyle w:val="IQB-Merkmalswert"/>
              <w:rPr>
                <w:sz w:val="22"/>
                <w:szCs w:val="22"/>
              </w:rPr>
            </w:pPr>
            <w:r w:rsidRPr="00013049">
              <w:rPr>
                <w:sz w:val="22"/>
                <w:szCs w:val="22"/>
              </w:rPr>
              <w:t>4</w:t>
            </w:r>
          </w:p>
        </w:tc>
      </w:tr>
    </w:tbl>
    <w:p w:rsidR="00694A63" w:rsidRPr="00694A63" w:rsidRDefault="00694A63" w:rsidP="00694A63">
      <w:pPr>
        <w:pStyle w:val="IQB-Teilaufgabentitel"/>
        <w:rPr>
          <w:b/>
        </w:rPr>
      </w:pPr>
      <w:r w:rsidRPr="00694A63">
        <w:rPr>
          <w:b/>
        </w:rPr>
        <w:t>Aufgabenbezogener Kommentar</w:t>
      </w:r>
    </w:p>
    <w:p w:rsidR="001D0593" w:rsidRPr="001D0593" w:rsidRDefault="001D0593" w:rsidP="001D0593">
      <w:pPr>
        <w:suppressLineNumbers/>
        <w:suppressAutoHyphens/>
        <w:spacing w:line="320" w:lineRule="atLeast"/>
        <w:jc w:val="both"/>
        <w:rPr>
          <w:rFonts w:ascii="Arial" w:hAnsi="Arial" w:cs="Arial"/>
          <w:sz w:val="22"/>
          <w:szCs w:val="22"/>
        </w:rPr>
      </w:pPr>
      <w:r w:rsidRPr="001D0593">
        <w:rPr>
          <w:rFonts w:ascii="Arial" w:hAnsi="Arial" w:cs="Arial"/>
          <w:sz w:val="22"/>
          <w:szCs w:val="22"/>
        </w:rPr>
        <w:t xml:space="preserve">In der Aufgabe „Zwei Taschenrechner“ wird eine Aufgabenstellung aus der Prozentrechnung betrachtet. Somit gehört die Aufgabe zur Leitidee </w:t>
      </w:r>
      <w:r w:rsidRPr="001D0593">
        <w:rPr>
          <w:rFonts w:ascii="Arial" w:hAnsi="Arial" w:cs="Arial"/>
          <w:i/>
          <w:sz w:val="22"/>
          <w:szCs w:val="22"/>
        </w:rPr>
        <w:t>Zahl </w:t>
      </w:r>
      <w:r w:rsidRPr="001D0593">
        <w:rPr>
          <w:rFonts w:ascii="Arial" w:hAnsi="Arial" w:cs="Arial"/>
          <w:sz w:val="22"/>
          <w:szCs w:val="22"/>
        </w:rPr>
        <w:t>(L1).</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sz w:val="22"/>
          <w:szCs w:val="22"/>
        </w:rPr>
        <w:t xml:space="preserve">In beiden Teilaufgaben wird der Taschenrechner als Werkzeug benutzt, bzw. muss über dessen sinnhaften Einsatz reflektiert werden. Der Einsatz von Werkzeugen wie Geodreieck, Zirkel und Taschenrechner verlangt die Kompetenz </w:t>
      </w:r>
      <w:r w:rsidRPr="001D0593">
        <w:rPr>
          <w:rFonts w:ascii="Arial" w:hAnsi="Arial" w:cs="Arial"/>
          <w:i/>
          <w:sz w:val="22"/>
          <w:szCs w:val="22"/>
        </w:rPr>
        <w:t>Mit symbolischen, formalen und technischen Elementen der Ma-thematik umgehen</w:t>
      </w:r>
      <w:r w:rsidRPr="001D0593">
        <w:rPr>
          <w:rFonts w:ascii="Arial" w:hAnsi="Arial" w:cs="Arial"/>
          <w:sz w:val="22"/>
          <w:szCs w:val="22"/>
        </w:rPr>
        <w:t xml:space="preserve"> (K5). Zur Lösung dieser Aufgabe müssen Schülerinnen und Schüler verschiedene sprachliche Ebenen in der Aufgabenstellung auseinanderhalten, als da wären die Aufgabe „Werbeaktion“, die Lösungen dazu von Yasmin und David und die eigentlichen Aufgabenstellungen. Somit erfordert die Aufgabe „Zwei Taschenrechner“ die Kompetenz </w:t>
      </w:r>
      <w:r w:rsidRPr="001D0593">
        <w:rPr>
          <w:rFonts w:ascii="Arial" w:hAnsi="Arial" w:cs="Arial"/>
          <w:i/>
          <w:sz w:val="22"/>
          <w:szCs w:val="22"/>
        </w:rPr>
        <w:t>Mathematisch kommunizieren</w:t>
      </w:r>
      <w:r w:rsidRPr="001D0593">
        <w:rPr>
          <w:rFonts w:ascii="Arial" w:hAnsi="Arial" w:cs="Arial"/>
          <w:sz w:val="22"/>
          <w:szCs w:val="22"/>
        </w:rPr>
        <w:t xml:space="preserve"> (K6). In Teilaufgabe 1 soll begründet dargelegt werden, auf welche Weise die Ergebnisse der einzelnen Taschenrechner zustande kommen. Somit wird in dieser Teilaufgabe die Kompetenz </w:t>
      </w:r>
      <w:r w:rsidRPr="001D0593">
        <w:rPr>
          <w:rFonts w:ascii="Arial" w:hAnsi="Arial" w:cs="Arial"/>
          <w:i/>
          <w:sz w:val="22"/>
          <w:szCs w:val="22"/>
        </w:rPr>
        <w:t>Mathematisch argumentieren</w:t>
      </w:r>
      <w:r w:rsidRPr="001D0593">
        <w:rPr>
          <w:rFonts w:ascii="Arial" w:hAnsi="Arial" w:cs="Arial"/>
          <w:sz w:val="22"/>
          <w:szCs w:val="22"/>
        </w:rPr>
        <w:t xml:space="preserve"> (K1) genutzt. In der zweiten Teilaufgabe wird das Modell der Prozentrechnung bestehend aus Grundwert, Prozentsatz und Prozentwert genutzt. Daher wird die Kompetenz </w:t>
      </w:r>
      <w:r w:rsidRPr="001D0593">
        <w:rPr>
          <w:rFonts w:ascii="Arial" w:hAnsi="Arial" w:cs="Arial"/>
          <w:i/>
          <w:sz w:val="22"/>
          <w:szCs w:val="22"/>
        </w:rPr>
        <w:t>Mathematisch modellieren</w:t>
      </w:r>
      <w:r w:rsidRPr="001D0593">
        <w:rPr>
          <w:rFonts w:ascii="Arial" w:hAnsi="Arial" w:cs="Arial"/>
          <w:sz w:val="22"/>
          <w:szCs w:val="22"/>
        </w:rPr>
        <w:t> (K3) genutzt.</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sz w:val="22"/>
          <w:szCs w:val="22"/>
        </w:rPr>
        <w:t>In beiden Teilaufgaben wird die Nutzung eines mathematischen Werkzeugs reflektiert. Aufgrund dessen gehören beide Teilaufgaben in den Anforderungsbereich III.</w:t>
      </w:r>
    </w:p>
    <w:p w:rsidR="00694A63" w:rsidRPr="00694A63" w:rsidRDefault="00694A63" w:rsidP="00694A63">
      <w:pPr>
        <w:pStyle w:val="IQB-Teilaufgabentitel"/>
        <w:rPr>
          <w:b/>
        </w:rPr>
      </w:pPr>
      <w:r w:rsidRPr="00694A63">
        <w:rPr>
          <w:b/>
        </w:rPr>
        <w:t>Anregungen für den Unterricht</w:t>
      </w:r>
    </w:p>
    <w:p w:rsidR="001D0593" w:rsidRPr="001D0593" w:rsidRDefault="001D0593" w:rsidP="001D0593">
      <w:pPr>
        <w:suppressLineNumbers/>
        <w:suppressAutoHyphens/>
        <w:spacing w:line="320" w:lineRule="atLeast"/>
        <w:jc w:val="both"/>
        <w:rPr>
          <w:rFonts w:ascii="Arial" w:hAnsi="Arial" w:cs="Arial"/>
          <w:sz w:val="22"/>
          <w:szCs w:val="22"/>
        </w:rPr>
      </w:pPr>
      <w:r w:rsidRPr="001D0593">
        <w:rPr>
          <w:rFonts w:ascii="Arial" w:hAnsi="Arial" w:cs="Arial"/>
          <w:sz w:val="22"/>
          <w:szCs w:val="22"/>
        </w:rPr>
        <w:t xml:space="preserve">Die zentrale Herausforderung der Aufgabe „Zwei Taschenrechner“ besteht in der Werkzeugnutzung. Die Werkzeugnutzung ist in den Bildungsstandards im Fach Mathematik der KMK der Kompetenz </w:t>
      </w:r>
      <w:r w:rsidRPr="001D0593">
        <w:rPr>
          <w:rFonts w:ascii="Arial" w:hAnsi="Arial" w:cs="Arial"/>
          <w:i/>
          <w:sz w:val="22"/>
          <w:szCs w:val="22"/>
        </w:rPr>
        <w:t>Mit symbolischen, formalen und technischen Elementen der Ma-thematik umgehen</w:t>
      </w:r>
      <w:r w:rsidRPr="001D0593">
        <w:rPr>
          <w:rFonts w:ascii="Arial" w:hAnsi="Arial" w:cs="Arial"/>
          <w:sz w:val="22"/>
          <w:szCs w:val="22"/>
        </w:rPr>
        <w:t xml:space="preserve"> (K5) zugeordnet. Die Werkzeugnutzung wird dadurch neben das Beherrschen von Rechenwegen oder den Umgang mit Symbolen und Formeln gestellt. Es gibt jedoch auch Bundesländer, in denen die Werkzeugnutzung durch curriculare Vorgaben stärker in den Fokus gerückt wird. So bezeichnet </w:t>
      </w:r>
      <w:r w:rsidRPr="001D0593">
        <w:rPr>
          <w:rFonts w:ascii="Arial" w:hAnsi="Arial" w:cs="Arial"/>
          <w:sz w:val="22"/>
          <w:szCs w:val="22"/>
        </w:rPr>
        <w:lastRenderedPageBreak/>
        <w:t>beispielsweise der Kernlehrplan in Nordrhein-Westfalen die Werkzeugnutzung als eine eigene Prozesskompetenz. Denkt man an die Vielzahl von Werkzeugen, die es im Mathematikunterricht zu beherrschen gilt, und an die tragende Rolle, die Werkzeuge im Mathematikunterricht bisweilen spielen, so scheint diese Hervorhebung von Werkzeugkompetenzen durchaus gerechtfertigt.</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sz w:val="22"/>
          <w:szCs w:val="22"/>
        </w:rPr>
        <w:t xml:space="preserve">Werkzeuge werden im Mathematikunterricht zunächst von Medien begrifflich unterschieden. Während Werkzeuge, kurz gesagt, dem Lösen von Aufgaben dienen, haben Medien in der Regel die Aufgabe Lerninhalte zu transportieren bzw. leichter zugänglich zu machen. Es kommt also auf den Einsatz im Unterricht an, ob etwas als Werkzeug oder als Medium gilt. Dieser Unterschied lässt sich vielleicht am einfachsten anhand eines Computerprogramms, wie z. B. einer </w:t>
      </w:r>
      <w:proofErr w:type="spellStart"/>
      <w:r w:rsidRPr="001D0593">
        <w:rPr>
          <w:rFonts w:ascii="Arial" w:hAnsi="Arial" w:cs="Arial"/>
          <w:sz w:val="22"/>
          <w:szCs w:val="22"/>
        </w:rPr>
        <w:t>dyna</w:t>
      </w:r>
      <w:proofErr w:type="spellEnd"/>
      <w:r w:rsidRPr="001D0593">
        <w:rPr>
          <w:rFonts w:ascii="Arial" w:hAnsi="Arial" w:cs="Arial"/>
          <w:sz w:val="22"/>
          <w:szCs w:val="22"/>
        </w:rPr>
        <w:t>-mischen Geometriesoftware verdeutlichen. Verwenden Schülerinnen und Schüler die dynamische Geometriesoftware um eine Aufgabe zu lösen, dient diese vorrangig als Werkzeug. Wenn die Schülerinnen und Schüler hingegen auf ein von der Lehrperson vorbereitetes dynamisches Arbeitsblatt blicken und die dynamische Geometriesoftware vielmehr eingesetzt wird, um einen Sachverhalt zu veranschaulichen, dient sie an dieser Stelle als Medium. Wie man leicht sieht, können die Grenzen zwischen Werkzeug und Medium fließend sein und es ist im Einzelfall zu entscheiden, auf welche Weise eine Software eingesetzt wird.</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sz w:val="22"/>
          <w:szCs w:val="22"/>
        </w:rPr>
        <w:t xml:space="preserve">Man unterscheidet in der Regel zwischen klassischen und neuen Werkzeugen im Mathematikunterricht. Zu den klassischen Werkzeugen gehören mit Sicherheit der Zirkel, das Lineal, der Winkelmesser oder das Geodreieck. Ebenso können aber auch Tafelwerke und Formelsammlungen in gewisser Hinsicht als Werkzeuge bezeichnet werden. Manche einstmals klassischen Werkzeuge sind hingegen aus dem Mathematikunterricht nahezu verschwunden. Man denke hierbei beispielsweise an den Rechenschieber. Computerprogramme werden als </w:t>
      </w:r>
      <w:r w:rsidRPr="001D0593">
        <w:rPr>
          <w:rFonts w:ascii="Arial" w:hAnsi="Arial" w:cs="Arial"/>
          <w:i/>
          <w:sz w:val="22"/>
          <w:szCs w:val="22"/>
        </w:rPr>
        <w:t>neue</w:t>
      </w:r>
      <w:r w:rsidRPr="001D0593">
        <w:rPr>
          <w:rFonts w:ascii="Arial" w:hAnsi="Arial" w:cs="Arial"/>
          <w:sz w:val="22"/>
          <w:szCs w:val="22"/>
        </w:rPr>
        <w:t xml:space="preserve"> Werkzeuge bezeichnet. Folgende Arten von Mathematikprogrammen werden dabei in der Regel voneinander unterschieden: </w:t>
      </w:r>
    </w:p>
    <w:p w:rsidR="001D0593" w:rsidRPr="001D0593" w:rsidRDefault="001D0593" w:rsidP="001D0593">
      <w:pPr>
        <w:suppressLineNumbers/>
        <w:suppressAutoHyphens/>
        <w:spacing w:before="120" w:line="320" w:lineRule="atLeast"/>
        <w:jc w:val="both"/>
        <w:rPr>
          <w:rFonts w:ascii="Arial" w:hAnsi="Arial" w:cs="Arial"/>
          <w:sz w:val="22"/>
          <w:szCs w:val="22"/>
        </w:rPr>
      </w:pPr>
      <w:proofErr w:type="spellStart"/>
      <w:r w:rsidRPr="001D0593">
        <w:rPr>
          <w:rFonts w:ascii="Arial" w:hAnsi="Arial" w:cs="Arial"/>
          <w:b/>
          <w:sz w:val="22"/>
          <w:szCs w:val="22"/>
        </w:rPr>
        <w:t>Computeralgebrasysteme</w:t>
      </w:r>
      <w:proofErr w:type="spellEnd"/>
      <w:r w:rsidRPr="001D0593">
        <w:rPr>
          <w:rFonts w:ascii="Arial" w:hAnsi="Arial" w:cs="Arial"/>
          <w:b/>
          <w:sz w:val="22"/>
          <w:szCs w:val="22"/>
        </w:rPr>
        <w:t xml:space="preserve"> (CAS):</w:t>
      </w:r>
      <w:r w:rsidRPr="001D0593">
        <w:rPr>
          <w:rFonts w:ascii="Arial" w:hAnsi="Arial" w:cs="Arial"/>
          <w:sz w:val="22"/>
          <w:szCs w:val="22"/>
        </w:rPr>
        <w:t xml:space="preserve"> Damit sind Computerprogramme gemeint, die der Bearbeitung algebraischer Ausdrücke dienen. Anders als bei einem einfachen Taschenrechner, können diese Programme nicht bloß Rechnungen mit Zahlen durchführen, sondern auch Umformungen mit Termen und Gleichungen, die Variablen enthalten.</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b/>
          <w:sz w:val="22"/>
          <w:szCs w:val="22"/>
        </w:rPr>
        <w:t>Dynamische Geometriesoftware (DGS):</w:t>
      </w:r>
      <w:r w:rsidRPr="001D0593">
        <w:rPr>
          <w:rFonts w:ascii="Arial" w:hAnsi="Arial" w:cs="Arial"/>
          <w:sz w:val="22"/>
          <w:szCs w:val="22"/>
        </w:rPr>
        <w:t xml:space="preserve"> Eine DGS behandelt in der Regel Euklidische Geometrie in einer Ebene. Die wichtigste Eigenschaft von DGS ist der </w:t>
      </w:r>
      <w:proofErr w:type="spellStart"/>
      <w:r w:rsidRPr="001D0593">
        <w:rPr>
          <w:rFonts w:ascii="Arial" w:hAnsi="Arial" w:cs="Arial"/>
          <w:sz w:val="22"/>
          <w:szCs w:val="22"/>
        </w:rPr>
        <w:t>Zugmodus</w:t>
      </w:r>
      <w:proofErr w:type="spellEnd"/>
      <w:r w:rsidRPr="001D0593">
        <w:rPr>
          <w:rFonts w:ascii="Arial" w:hAnsi="Arial" w:cs="Arial"/>
          <w:sz w:val="22"/>
          <w:szCs w:val="22"/>
        </w:rPr>
        <w:t xml:space="preserve">. Durch den </w:t>
      </w:r>
      <w:proofErr w:type="spellStart"/>
      <w:r w:rsidRPr="001D0593">
        <w:rPr>
          <w:rFonts w:ascii="Arial" w:hAnsi="Arial" w:cs="Arial"/>
          <w:sz w:val="22"/>
          <w:szCs w:val="22"/>
        </w:rPr>
        <w:t>Zugmodus</w:t>
      </w:r>
      <w:proofErr w:type="spellEnd"/>
      <w:r w:rsidRPr="001D0593">
        <w:rPr>
          <w:rFonts w:ascii="Arial" w:hAnsi="Arial" w:cs="Arial"/>
          <w:sz w:val="22"/>
          <w:szCs w:val="22"/>
        </w:rPr>
        <w:t xml:space="preserve"> wird es möglich, freie Punkte zu verschieben, wobei alle von diesen Punkten abhängigen Objekte simultan ihre Lage verändern. Dadurch wird beispielsweise ermöglicht Abhängigkeiten zu erkennen, die in einer einmaligen Zeichnung nicht sichtbar geworden wären. Beispiele für solche Programme sind Cinderella (http://www.cinderella.de/), </w:t>
      </w:r>
      <w:proofErr w:type="gramStart"/>
      <w:r w:rsidRPr="001D0593">
        <w:rPr>
          <w:rFonts w:ascii="Arial" w:hAnsi="Arial" w:cs="Arial"/>
          <w:sz w:val="22"/>
          <w:szCs w:val="22"/>
        </w:rPr>
        <w:t>das</w:t>
      </w:r>
      <w:proofErr w:type="gramEnd"/>
      <w:r w:rsidRPr="001D0593">
        <w:rPr>
          <w:rFonts w:ascii="Arial" w:hAnsi="Arial" w:cs="Arial"/>
          <w:sz w:val="22"/>
          <w:szCs w:val="22"/>
        </w:rPr>
        <w:t xml:space="preserve"> auch die Darstellung hyperbolischer Geometrie erlaubt und </w:t>
      </w:r>
      <w:proofErr w:type="spellStart"/>
      <w:r w:rsidRPr="001D0593">
        <w:rPr>
          <w:rFonts w:ascii="Arial" w:hAnsi="Arial" w:cs="Arial"/>
          <w:sz w:val="22"/>
          <w:szCs w:val="22"/>
        </w:rPr>
        <w:t>Sketchometry</w:t>
      </w:r>
      <w:proofErr w:type="spellEnd"/>
      <w:r w:rsidRPr="001D0593">
        <w:rPr>
          <w:rFonts w:ascii="Arial" w:hAnsi="Arial" w:cs="Arial"/>
          <w:sz w:val="22"/>
          <w:szCs w:val="22"/>
        </w:rPr>
        <w:t xml:space="preserve"> (sketchometry.org), das sich insbesondere für alle Geräte mit einem Touchscreen wie beispielsweise Tablets eignet. </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b/>
          <w:sz w:val="22"/>
          <w:szCs w:val="22"/>
        </w:rPr>
        <w:t>Dynamische Raumgeometriesoftware (DRGS):</w:t>
      </w:r>
      <w:r w:rsidRPr="001D0593">
        <w:rPr>
          <w:rFonts w:ascii="Arial" w:hAnsi="Arial" w:cs="Arial"/>
          <w:sz w:val="22"/>
          <w:szCs w:val="22"/>
        </w:rPr>
        <w:t xml:space="preserve"> Nah verwandt und doch begrifflich voneinander zu unterscheiden ist die DRGS. Mit dieser Art von Software wird Geometrie in drei Dimensionen interaktiv betrieben. Zu nennen sind hier Programme wie Archimedes Geo3D, Cabri3D oder Vektoris3D.</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b/>
          <w:sz w:val="22"/>
          <w:szCs w:val="22"/>
        </w:rPr>
        <w:t>Funktionenplotter:</w:t>
      </w:r>
      <w:r w:rsidRPr="001D0593">
        <w:rPr>
          <w:rFonts w:ascii="Arial" w:hAnsi="Arial" w:cs="Arial"/>
          <w:sz w:val="22"/>
          <w:szCs w:val="22"/>
        </w:rPr>
        <w:t xml:space="preserve"> Mit dieser Art von Computersoftware werden zu einem vorgegebenen Funktionsterm Graphen gezeichnet.</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b/>
          <w:sz w:val="22"/>
          <w:szCs w:val="22"/>
        </w:rPr>
        <w:lastRenderedPageBreak/>
        <w:t>Tabellenkalkulationssoftware (TKS):</w:t>
      </w:r>
      <w:r w:rsidRPr="001D0593">
        <w:rPr>
          <w:rFonts w:ascii="Arial" w:hAnsi="Arial" w:cs="Arial"/>
          <w:sz w:val="22"/>
          <w:szCs w:val="22"/>
        </w:rPr>
        <w:t xml:space="preserve"> In einem Tabellenblatt bestehend aus Zeilen und Spalten können alphanumerische Inhalte einzelner Zellen miteinander in Beziehung gesetzt werden. Die bekanntesten Programme dieser Art sind vermutlich „Excel“ und „LibreOffice </w:t>
      </w:r>
      <w:proofErr w:type="spellStart"/>
      <w:r w:rsidRPr="001D0593">
        <w:rPr>
          <w:rFonts w:ascii="Arial" w:hAnsi="Arial" w:cs="Arial"/>
          <w:sz w:val="22"/>
          <w:szCs w:val="22"/>
        </w:rPr>
        <w:t>Calc</w:t>
      </w:r>
      <w:proofErr w:type="spellEnd"/>
      <w:r w:rsidRPr="001D0593">
        <w:rPr>
          <w:rFonts w:ascii="Arial" w:hAnsi="Arial" w:cs="Arial"/>
          <w:sz w:val="22"/>
          <w:szCs w:val="22"/>
        </w:rPr>
        <w:t>“.</w:t>
      </w:r>
    </w:p>
    <w:p w:rsidR="001D0593" w:rsidRPr="001D0593" w:rsidRDefault="001D0593" w:rsidP="001D0593">
      <w:pPr>
        <w:suppressLineNumbers/>
        <w:suppressAutoHyphens/>
        <w:spacing w:before="120" w:line="320" w:lineRule="atLeast"/>
        <w:jc w:val="both"/>
        <w:rPr>
          <w:rFonts w:ascii="Arial" w:hAnsi="Arial" w:cs="Arial"/>
          <w:sz w:val="22"/>
          <w:szCs w:val="22"/>
        </w:rPr>
      </w:pPr>
      <w:r w:rsidRPr="001D0593">
        <w:rPr>
          <w:rFonts w:ascii="Arial" w:hAnsi="Arial" w:cs="Arial"/>
          <w:sz w:val="22"/>
          <w:szCs w:val="22"/>
        </w:rPr>
        <w:t>Tatsächlich lassen sich die Computerprogramme für den Einsatz im Mathematikunterricht nicht mehr so leicht nach diesen Charakteristika unterscheiden. Viele Programme vereinen mittlerweile verschiedene der angesprochenen Eigenschaften. So kommt vermutlich kein CAS mehr ohne die Funktion eines Plotters daher. Und Programme, die Raumgeometrie beherrschen, können meist auch auf die Ebene eingeschränkt werden. Am deutlichsten zeigt sich diese Entwicklung am Beispiel GeoGebra (www.geogebra.org). anfänglich eignete sich die Software für dynamische Geometrie in der Ebene. Damit verbunden konnten Funktionsgraphen gezeichnet werden. Mittlerweile kann GeoGebra aber auch 3D-Geometrie darstellen und beinhaltet eine einfache Tabellenkalkulation und ein CAS. Man würde GeoGebra daher heute eher als dynamisches Mathematiksystem beschreiben.</w:t>
      </w:r>
    </w:p>
    <w:p w:rsidR="001D0593" w:rsidRPr="001D0593" w:rsidRDefault="001D0593" w:rsidP="001D0593">
      <w:pPr>
        <w:suppressLineNumbers/>
        <w:suppressAutoHyphens/>
        <w:spacing w:line="320" w:lineRule="atLeast"/>
        <w:jc w:val="both"/>
        <w:rPr>
          <w:rFonts w:ascii="Arial" w:hAnsi="Arial" w:cs="Arial"/>
          <w:sz w:val="22"/>
          <w:szCs w:val="22"/>
        </w:rPr>
      </w:pPr>
      <w:r w:rsidRPr="001D0593">
        <w:rPr>
          <w:rFonts w:ascii="Arial" w:hAnsi="Arial" w:cs="Arial"/>
          <w:sz w:val="22"/>
          <w:szCs w:val="22"/>
        </w:rPr>
        <w:t xml:space="preserve">Im Mathematikunterricht markiert der Taschenrechner quasi den Übergang von klassischen zu neuen Werkzeugen. Da er ein elektronisches Werkzeug ist, gilt er vielleicht nicht als klassisches Werkzeug. Jedoch fehlen ihm wesentliche Eigenschaften der neuen Werkzeuge in Form von Computerprogrammen. Außerdem wird er bereits deutlich länger im Unterricht eingesetzt, als dies bei Computerprogrammen der Fall ist. Erschwert wird die Abgrenzung auch dadurch, dass wissenschaftliche Taschenrechner Funktionen haben, die man so auch in Computerprogrammen antrifft. Zu nennen wäre hier das algebraische Lösen von bestimmten Gleichungen und Gleichungssystemen oder das numerische Lösen von Gleichungen. In der Aufgabe „Zwei Taschenrechner“ wird deutlich, dass die gleiche Eingabe bei verschiedenen Taschenrechnern zu unterschiedlichen Ergebnissen führen kann. Dieses Verhalten lässt sich nicht nur bei den Taschenrechnern in den Abbildungen beobachten: Gibt man die Rechnung </w:t>
      </w:r>
      <w:r w:rsidRPr="001D0593">
        <w:rPr>
          <w:rFonts w:ascii="Calibri" w:hAnsi="Calibri" w:cs="Arial"/>
          <w:position w:val="-10"/>
        </w:rPr>
        <w:object w:dxaOrig="11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5.6pt;height:16.4pt" o:ole="">
            <v:imagedata r:id="rId8" o:title=""/>
          </v:shape>
          <o:OLEObject Type="Embed" ProgID="Equation.DSMT4" ShapeID="_x0000_i1031" DrawAspect="Content" ObjectID="_1814855891" r:id="rId9"/>
        </w:object>
      </w:r>
      <w:r w:rsidRPr="001D0593">
        <w:rPr>
          <w:rFonts w:ascii="Arial" w:hAnsi="Arial" w:cs="Arial"/>
          <w:sz w:val="22"/>
          <w:szCs w:val="22"/>
        </w:rPr>
        <w:t xml:space="preserve"> in den mitgelieferten Rechner bei Windows 7 ein, so erhält man das Ergebnis 300. Die gleiche Eingabe führt im CAS von GeoGebra zum Ergebnis 250,2. In der Aufgabe geht es dann darum, das unterschiedliche Verhalten zu erklären. Im Unterricht kann die Reflexion über den sinnvollen Ein-satz von Taschenrechnern an verschiedenen Stellen geübt werden. Hierzu drei Beispiele: Wenn eine Gleichung mithilfe eines wissenschaftlichen Taschenrechners numerisch oder algebraisch gelöst wird, kann über die Exaktheit des Ergebnisses reflektiert werden. Es kann verglichen werden, wie sehr es sich im weiteren Verlauf einer Rechnung auswirkt, wenn man mit gerundeten Dezimalzahlen oder exakten Brüchen gerechnet hat. Anhand der Erstellung einer Wertetabelle kann die Kapazität des Speichers eines Taschenrechners überprüft werden.</w:t>
      </w:r>
    </w:p>
    <w:p w:rsidR="00694A63" w:rsidRPr="005B2F65" w:rsidRDefault="00694A63" w:rsidP="001D0593">
      <w:pPr>
        <w:jc w:val="both"/>
        <w:rPr>
          <w:sz w:val="22"/>
          <w:szCs w:val="22"/>
        </w:rPr>
      </w:pPr>
      <w:bookmarkStart w:id="0" w:name="_GoBack"/>
      <w:bookmarkEnd w:id="0"/>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0B8EC9C-7E26-4E90-A160-6786E4A497C3}"/>
    <w:embedBold r:id="rId2" w:fontKey="{C9C20167-6252-467D-BF84-E9A586883947}"/>
    <w:embedItalic r:id="rId3" w:fontKey="{C246D44D-C9AB-4AB6-9413-A9AEB759B457}"/>
    <w:embedBoldItalic r:id="rId4" w:fontKey="{9CCA6608-1FA0-465B-AF87-05255970566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593"/>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72EB6"/>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D9465E-E222-4CD8-A8AB-250747B6E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1129</Words>
  <Characters>7783</Characters>
  <Application>Microsoft Office Word</Application>
  <DocSecurity>0</DocSecurity>
  <Lines>152</Lines>
  <Paragraphs>74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8838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2025-07-24T07:52:00Z</dcterms:created>
  <dcterms:modified xsi:type="dcterms:W3CDTF">2025-07-24T07:52:00Z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